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12 vom 14. März 2014</w:t>
      </w:r>
    </w:p>
    <w:p>
      <w:r>
        <w:t>GR Gerichte, 2014-03-14, DE</w:t>
      </w:r>
    </w:p>
    <w:p>
      <w:r>
        <w:rPr>
          <w:b/>
        </w:rPr>
        <w:t xml:space="preserve">Quelle: </w:t>
      </w:r>
      <w:r>
        <w:t>https://mcp.opencaselaw.ch/entscheid/gr_gerichte_ERZ 2014 12</w:t>
      </w:r>
    </w:p>
    <w:p>
      <w:r>
        <w:t>FR: GR_GERICHTE ERZ 2014 12 du 14 mars 2014</w:t>
      </w:r>
    </w:p>
    <w:p>
      <w:r>
        <w:t>IT: GR_GERICHTE ERZ 2014 12 del 14 marzo 2014</w:t>
      </w:r>
    </w:p>
    <w:p>
      <w:pPr>
        <w:pStyle w:val="Heading2"/>
      </w:pPr>
      <w:r>
        <w:t>Regeste</w:t>
      </w:r>
    </w:p>
    <w:p>
      <w:r>
        <w:t>Forderung aus Arbeitsverhältnis</w:t>
      </w:r>
    </w:p>
    <w:p>
      <w:pPr>
        <w:pStyle w:val="Heading2"/>
      </w:pPr>
      <w:r>
        <w:t>Volltext</w:t>
      </w:r>
    </w:p>
    <w:p>
      <w:r>
        <w:t>Kantonsgericht von Graubünden Dretgira chantunala dal Grischun Tribunale cantonale dei Grigioni Ref.: Chur, 14. März 2014 Schriftlich mitgeteilt am: ERZ 14 12 16. April 2014 Entscheid Einzelrichter in Zivilsachen Vorsitz Pritzi Aktuar ad hoc Decurtins In der Zivilsache des A._____, Beschwerdeführer, gegen den Entscheid des Vermittleramts Plessur vom 19. Dezember 2013, gleichentags mitgeteilt, in Sachen der B._____, Beschwerdegegnerin, gegen den Beschwerde- führer, betreffend Forderung aus Arbeitsverhältnis,</w:t>
      </w:r>
    </w:p>
    <w:p>
      <w:r>
        <w:t>Seite 2 — 6 hat der Einzelrichter in Zivilsachen am Kantonsgericht von Graubünden nach Kenntnisnahme der Beschwerde vom 18. Januar 2014, nach Einsicht in die Ver- fahrensakten sowie aufgrund der Feststellungen und Erwägungen, – dass A._____ mit Entscheid des Vermittleramts Plessur vom 19. Dezember 2013, gleichentags mitgeteilt, verpflichtet wurde, B._____ wegen einer Forde- rung aus einem Arbeitsverhältnis CHF 1'200.-- nebst Zins zu 5% seit 4. No- vember 2013 sowie eine Parteientschädigung in Höhe von CHF 25.-- zu be- zahlen, – dass A._____ gegen diesen Entscheid am 18. Januar 2014 beim Kantonsge- richt von Graubünden Beschwerde erhob und sinngemäss beantragte, der Entscheid sei aufzuheben und die Sache zu seinen Gunsten neu zu beurtei- len, – dass gegen Entscheide des Vermittleramts innert 30 Tagen seit der Mitteilung schriftlich und begründet Beschwerde an das Kantonsgericht von Graubünden geführt werden kann (Art. 319 der Schweizerischen Zivilprozessordnung [ZPO; SR 272]; Honegger, in: Sutter-Somm/Hasenböhler/Leuenberger, Kom- mentar zur Schweizerischen Zivilprozessordnung, 2. Auflage, Zürich 2013, N 10 zu Art. 212 ZPO), – dass diese Frist mit Aufgabe der Beschwerde am 18. Januar 2014 offensicht- lich gewahrt ist, – dass der Einzelrichter in Zivilsachen des Kantonsgerichts von Graubünden A._____ mit Verfügung vom 21. Januar 2014 unter Hinweis auf die Säumnis- folgen aufforderte, bis zum 11. Februar 2014 einen Kostenvorschuss in Höhe von CHF 1'500.-- zu leisten, – dass B._____ mit Verfügung ebenfalls vom 21. Januar 2014 aufgefordert wur- de, innert 30 Tagen eine Beschwerdeantwort einzureichen, – dass B._____ dem Kantonsgericht am 10. Februar 2014 ihre Beschwerdeant- wort einreichte, in welcher sie ohne konkrete Rechtsbegehren ihre Sicht der Dinge darlegte und sinngemäss die Abweisung der Beschwerde verlangte, – dass A._____ die Frist zur Leistung des Kostenvorschusses am 13. Februar 2014 erstreckt worden war und er dem Kantonsgericht den Kostenvorschuss in Höhe von CHF 1'500.-- am 25. Februar 2014 überwies,</w:t>
      </w:r>
    </w:p>
    <w:p>
      <w:r>
        <w:t>Seite 3 — 6 – dass B._____ für A._____ und dessen Firma C._____ unbestrittenermassen vom 4. - 11. Mai 2013 an der D._____ in O.1._____ als Werberin und Verkäu- ferin tätig gewesen war, – dass B._____ den Werbestand von C._____ zunächst zusammen mit E._____, einem Bekannten von A._____ aus L.1._____, und später − nach dessen krankheitsbedingtem Ausfall − alleine betreut hatte, – dass B._____ ihr Versprechen gegenüber A._____ eingehalten und E._____ für die Dauer dessen Aufenthalts in der Schweiz bei sich beherbergt hatte, – dass aus den Akten hervorgeht, dass E._____ für seine Tätigkeit im Rahmen der D._____ durch C._____ entlohnt worden war, – dass die Streitparteien hinsichtlich der Entschädigung von B._____ vereinbart hatten, dass diese anlässlich der nächsten Dentalreise nach L.2._____ von einem günstigen Angebot profitieren könne, – dass B._____ von einem entsprechenden Angebot seitens C._____ im Juli 2013 schliesslich doch nicht Gebrauch gemacht hatte, da es nicht ihren Vor- stellungen entsprach, – dass gemäss Art. 320 Abs. 2 des Obligationenrechts (OR; SR 220) die An- nahme von Arbeitsleistungen, welche nach den Umständen nur gegen Lohn zu erwarten sind, die unwiderlegbare Vermutung aufstellt, dass stillschwei- gend ein entgeltlicher Arbeitsvertrag geschlossen worden ist, – dass es dabei allein auf die objektiven Umstände und nicht auf den tatsächli- chen oder nach Vertrauensprinzip ermittelten Willen der Parteien ankommt und dass auch jemand Lohn verlangen kann, für den das Entgelt überhaupt kein Arbeitsmotiv war (Ullin Streiff/Adrian von Kaenel/Roger Rudolph, Arbeits- vertrag, Praxiskommentar zu Art. 319-362 OR, 7. Auflage, Zürich 2012, N 6 zu Art. 320 OR mit Verweis auf das Urteil des Bundesgerichts 4C.346/1999 vom 4. Februar 2000 = Pra 2000 Nr. 138 E. 2), – dass diese zwingende Schutzvorschrift zugunsten des Arbeitnehmers nur dann nicht Platz greift, wenn die Unentgeltlichkeit einer Dienstleistung aus- drücklich vereinbart wurde (Streiff/von Kaenel/Rudolph, a.a.O., N 6 zu Art. 320 OR),</w:t>
      </w:r>
    </w:p>
    <w:p>
      <w:r>
        <w:t>Seite 4 — 6 – dass Art. 320 Abs. 2 OR in der Praxis auch auf Fälle angewandt wird, in de- nen die Leistung in Erwartung einer besonderen Vergütung vorerst unentgelt- lich erbracht, diese Erwartung aber später enttäuscht wird (Manfred Rehbin- der/Jean-Fritz Stöckli, Berner Kommentar zum Obligationenrecht, Der Arbeits- vertrag, Art. 319 - 362 OR, Bern 2010, N 17 zu Art. 320 OR mit weiteren Hin- weisen), – dass ein mehrtägiger Einsatz an einer Ausstellungsmesse − wie unter ande- rem auch die Entlohnung von E._____ zeigt − eine Tätigkeit darstellt, die nach den Umständen nur gegen Lohn zu erwarten ist, – dass die Vorinstanz zutreffend festgestellt hat, dass die Tätigkeit von B._____ nach objektiven Kriterien nur als Arbeit gegen Entgelt im Sinne von Art. 320 Abs. 2 OR qualifiziert werden kann, – dass A._____ den Nachweis einer Unentgeltlichkeitsabrede nicht erbringen kann, – dass insbesondere der Umstand, dass B._____ E._____ gratis bei sich über- nachten liess, kein Indiz dafür ist, dass sie für die C._____ unentgeltlich arbei- ten wollte, – dass die vage Offerte von A._____, B._____ könne zu günstigen Konditionen an der nächsten Dentalreise nach L.2._____ teilnehmen, vielmehr klar dafür spricht, dass die Parteien offensichtlich nicht von Unentgeltlichkeit ausgegan- gen sind, – dass B._____ die Standbetreuung an der D._____ für die C._____ ohne Ent- schädigung erbracht hatte, – dass sie aber zweifelsohne davon ausgegangen war, dass sich ihr Einsatz bei der nächsten Dentalreise nach L.2._____ in Form von substanziellen Ermäs- sigungen auszahlen würde, – dass sie die vorliegend zu beurteilende Forderung erst geltend gemacht hatte, nachdem diese Erwartungen enttäuscht worden sind, – dass aus diesen Gründen von der Entgeltlichkeit der Standbetreuung auszu- gehen ist, weshalb der vorinstanzliche Entscheid zu bestätigen und die vorlie- gende Beschwerde vollumfänglich abzuweisen ist,</w:t>
      </w:r>
    </w:p>
    <w:p>
      <w:r>
        <w:t>Seite 5 — 6 – dass die Kosten für das Beschwerdeverfahren in Höhe von CHF 1'500.-- zu Lasten der Gerichtskasse gehen, da es sich um eine arbeitsrechtliche Streitig- keit mit einem Streitwert von weniger als CHF 30'000.-- handelt (Art. 114 lit. c ZPO), – dass für das vorliegende Verfahren keine Parteientschädigung beantragt wur- de, weshalb eine solche auch nicht zuzusprechen ist, – dass der Einzelrichter in Zivilsachen des Kantonsgerichts die vorliegende Be- schwerde in Anwendung von Art. 7 Abs. 2 des Einführungsgesetzes zur Schweizerischen Zivilprozessordnung (EGzZPO; BR 320.100) in einzelrichter- licher Kompetenz entscheidet,</w:t>
      </w:r>
    </w:p>
    <w:p>
      <w:r>
        <w:t>Seite 6 — 6 erkannt: 1. Die Beschwerde wird vollumfänglich abgewiesen. 2. Die Kosten des Beschwerdeverfahrens in Höhe von CHF 1'500.-- gehen zu Lasten der Gerichtskasse. 3. Der geleistete Kostenvorschuss in Höhe von CHF 1'500.-- wird A._____ vom Kantonsgericht zurückerstattet. 4. Gegen diese, einen Streitwert von weniger als CHF 15'000.-- Franken be- treffende Entscheidung kann gemäss Art. 72, Art. 74 Abs. 2 lit. a des Bun- desgesetzes vom 17. Juni 2005 über das Bundesgericht (Bundesgerichts- gesetz, BGG; SR 173.110) Beschwerde in Zivilsachen an das Schweizeri- sche Bundesgericht, 1000 Lausanne 14, geführt werden, wenn sich eine Rechtsfrage von grundsätzlicher Bedeutung stellt. Andernfalls ist die subsi- diäre Verfassungsbeschwerde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90 ff. und 113 ff. BGG. 5. Mitteilung an: ▪ A._____ ▪ B._____ ▪ Vermittleramt Plessur, Bärenloch 1, 7002 Chur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